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D" w:rsidRPr="00BB5C3D" w:rsidRDefault="00BB5C3D" w:rsidP="00BB5C3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BB5C3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Где еще используется учетная запись ЕСИА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B5C3D" w:rsidRPr="00BB5C3D" w:rsidTr="00BB5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BB5C3D" w:rsidRPr="00BB5C3D" w:rsidRDefault="00BB5C3D" w:rsidP="00BB5C3D">
            <w:pPr>
              <w:spacing w:after="75" w:line="312" w:lineRule="atLeast"/>
              <w:textAlignment w:val="baseline"/>
              <w:divId w:val="315964463"/>
              <w:rPr>
                <w:rFonts w:ascii="Georgia" w:eastAsia="Times New Roman" w:hAnsi="Georgia" w:cs="Tahoma"/>
                <w:color w:val="333333"/>
                <w:sz w:val="36"/>
                <w:szCs w:val="36"/>
                <w:lang w:eastAsia="ru-RU"/>
              </w:rPr>
            </w:pPr>
            <w:r w:rsidRPr="00BB5C3D">
              <w:rPr>
                <w:rFonts w:ascii="Georgia" w:eastAsia="Times New Roman" w:hAnsi="Georgia" w:cs="Tahoma"/>
                <w:color w:val="333333"/>
                <w:sz w:val="36"/>
                <w:szCs w:val="36"/>
                <w:lang w:eastAsia="ru-RU"/>
              </w:rPr>
              <w:t>Где еще используется учетная запись ЕСИА</w:t>
            </w:r>
          </w:p>
          <w:p w:rsidR="00BB5C3D" w:rsidRPr="00BB5C3D" w:rsidRDefault="00BB5C3D" w:rsidP="00BB5C3D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      </w:r>
            <w:hyperlink r:id="rId5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http://www.pfrf.ru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),на портале Федеральной налоговой службы (</w:t>
            </w:r>
            <w:hyperlink r:id="rId6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https://www.nalog.ru/rn46/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)принимать участие в голосовании</w:t>
            </w:r>
            <w:proofErr w:type="gramEnd"/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сайте Российской общественной инициативы (</w:t>
            </w:r>
            <w:hyperlink r:id="rId7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https://www.roi.ru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(рис. 1), но при условии, если они ранее обращались лично для идентификации в один из центров подтверждения личности.</w:t>
            </w:r>
          </w:p>
          <w:p w:rsidR="00BB5C3D" w:rsidRPr="00BB5C3D" w:rsidRDefault="00BB5C3D" w:rsidP="00BB5C3D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EADDE4C" wp14:editId="2F35EB78">
                  <wp:extent cx="4522470" cy="3204210"/>
                  <wp:effectExtent l="0" t="0" r="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47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C3D" w:rsidRPr="00BB5C3D" w:rsidRDefault="00BB5C3D" w:rsidP="00BB5C3D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Рис. 1</w:t>
            </w:r>
          </w:p>
        </w:tc>
      </w:tr>
    </w:tbl>
    <w:p w:rsidR="00884817" w:rsidRDefault="00BB5C3D" w:rsidP="00BB5C3D">
      <w:pPr>
        <w:tabs>
          <w:tab w:val="left" w:pos="12474"/>
        </w:tabs>
      </w:pPr>
    </w:p>
    <w:sectPr w:rsidR="00884817" w:rsidSect="00BB5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D"/>
    <w:rsid w:val="00645629"/>
    <w:rsid w:val="00902F89"/>
    <w:rsid w:val="00B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6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2019-06-18T06:14:00Z</dcterms:created>
  <dcterms:modified xsi:type="dcterms:W3CDTF">2019-06-18T06:14:00Z</dcterms:modified>
</cp:coreProperties>
</file>